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color w:val="000000"/>
        </w:rPr>
      </w:pPr>
      <w:r>
        <w:rPr>
          <w:rFonts w:cs="Times New Roman" w:ascii="Times New Roman" w:hAnsi="Times New Roman"/>
          <w:color w:val="000000"/>
          <w:sz w:val="24"/>
          <w:szCs w:val="24"/>
        </w:rPr>
        <w:t>Лицензионный договор № ___</w:t>
      </w:r>
    </w:p>
    <w:p>
      <w:pPr>
        <w:pStyle w:val="ConsPlusNormal"/>
        <w:jc w:val="center"/>
        <w:rPr>
          <w:color w:val="000000"/>
        </w:rPr>
      </w:pPr>
      <w:r>
        <w:rPr>
          <w:rFonts w:cs="Times New Roman" w:ascii="Times New Roman" w:hAnsi="Times New Roman"/>
          <w:color w:val="000000"/>
          <w:sz w:val="24"/>
          <w:szCs w:val="24"/>
          <w:lang w:val="en-US"/>
        </w:rPr>
        <w:t>Licensing</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agreement</w:t>
      </w:r>
      <w:r>
        <w:rPr>
          <w:rFonts w:cs="Times New Roman" w:ascii="Times New Roman" w:hAnsi="Times New Roman"/>
          <w:color w:val="000000"/>
          <w:sz w:val="24"/>
          <w:szCs w:val="24"/>
        </w:rPr>
        <w:t xml:space="preserve"> № ___</w:t>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г. Гатчина</w:t>
        <w:tab/>
        <w:tab/>
        <w:tab/>
        <w:tab/>
        <w:tab/>
        <w:tab/>
        <w:tab/>
        <w:tab/>
        <w:t>"</w:t>
      </w:r>
      <w:r>
        <w:rPr>
          <w:rFonts w:cs="Times New Roman" w:ascii="Times New Roman" w:hAnsi="Times New Roman"/>
          <w:color w:val="000000"/>
          <w:sz w:val="24"/>
          <w:szCs w:val="24"/>
          <w:lang w:val="en-US"/>
        </w:rPr>
        <w:t>_</w:t>
      </w:r>
      <w:bookmarkStart w:id="0" w:name="_GoBack"/>
      <w:bookmarkEnd w:id="0"/>
      <w:r>
        <w:rPr>
          <w:rFonts w:cs="Times New Roman" w:ascii="Times New Roman" w:hAnsi="Times New Roman"/>
          <w:color w:val="000000"/>
          <w:sz w:val="24"/>
          <w:szCs w:val="24"/>
        </w:rPr>
        <w:t>_</w:t>
      </w:r>
      <w:r>
        <w:rPr>
          <w:rFonts w:cs="Times New Roman" w:ascii="Times New Roman" w:hAnsi="Times New Roman"/>
          <w:color w:val="000000"/>
          <w:sz w:val="24"/>
          <w:szCs w:val="24"/>
          <w:lang w:val="en-US"/>
        </w:rPr>
        <w:t>___</w:t>
      </w:r>
      <w:r>
        <w:rPr>
          <w:rFonts w:cs="Times New Roman" w:ascii="Times New Roman" w:hAnsi="Times New Roman"/>
          <w:color w:val="000000"/>
          <w:sz w:val="24"/>
          <w:szCs w:val="24"/>
        </w:rPr>
        <w:t>"___________ ____</w:t>
      </w:r>
      <w:r>
        <w:rPr>
          <w:rFonts w:cs="Times New Roman" w:ascii="Times New Roman" w:hAnsi="Times New Roman"/>
          <w:color w:val="000000"/>
          <w:sz w:val="24"/>
          <w:szCs w:val="24"/>
          <w:lang w:val="en-US"/>
        </w:rPr>
        <w:t>_</w:t>
      </w:r>
      <w:r>
        <w:rPr>
          <w:rFonts w:cs="Times New Roman" w:ascii="Times New Roman" w:hAnsi="Times New Roman"/>
          <w:color w:val="000000"/>
          <w:sz w:val="24"/>
          <w:szCs w:val="24"/>
        </w:rPr>
        <w:t xml:space="preserve"> </w:t>
      </w:r>
    </w:p>
    <w:p>
      <w:pPr>
        <w:pStyle w:val="ConsPlusNonformat"/>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Gatchina</w:t>
        <w:tab/>
      </w:r>
    </w:p>
    <w:p>
      <w:pPr>
        <w:pStyle w:val="ConsPlusNonformat"/>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bl>
      <w:tblPr>
        <w:tblStyle w:val="a3"/>
        <w:tblW w:w="9497" w:type="dxa"/>
        <w:jc w:val="left"/>
        <w:tblInd w:w="-142" w:type="dxa"/>
        <w:tblCellMar>
          <w:top w:w="0" w:type="dxa"/>
          <w:left w:w="142" w:type="dxa"/>
          <w:bottom w:w="0" w:type="dxa"/>
          <w:right w:w="142" w:type="dxa"/>
        </w:tblCellMar>
        <w:tblLook w:firstRow="1" w:noVBand="1" w:lastRow="0" w:firstColumn="1" w:lastColumn="0" w:noHBand="0" w:val="04a0"/>
      </w:tblPr>
      <w:tblGrid>
        <w:gridCol w:w="4748"/>
        <w:gridCol w:w="4748"/>
      </w:tblGrid>
      <w:tr>
        <w:trPr/>
        <w:tc>
          <w:tcPr>
            <w:tcW w:w="4748" w:type="dxa"/>
            <w:tcBorders>
              <w:top w:val="nil"/>
              <w:left w:val="nil"/>
              <w:bottom w:val="nil"/>
              <w:right w:val="nil"/>
              <w:insideH w:val="nil"/>
              <w:insideV w:val="nil"/>
            </w:tcBorders>
            <w:shd w:fill="auto" w:val="clear"/>
          </w:tcPr>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u w:val="single"/>
              </w:rPr>
              <w:t xml:space="preserve">___Автор 1 ______________, </w:t>
              <w:br/>
              <w:t>_______Автор 2___________</w:t>
            </w:r>
            <w:r>
              <w:rPr>
                <w:rFonts w:cs="Times New Roman" w:ascii="Times New Roman" w:hAnsi="Times New Roman"/>
                <w:color w:val="000000"/>
                <w:sz w:val="24"/>
                <w:szCs w:val="24"/>
              </w:rPr>
              <w:t xml:space="preserve"> ________________________ </w:t>
            </w:r>
            <w:r>
              <w:rPr>
                <w:rFonts w:cs="Times New Roman" w:ascii="Times New Roman" w:hAnsi="Times New Roman"/>
                <w:color w:val="000000"/>
                <w:szCs w:val="24"/>
              </w:rPr>
              <w:t>(Ф.И.О., каждого автора)</w:t>
            </w:r>
          </w:p>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именуем__   в дальнейшем "Лицензиар(ы)"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«____»____.______ №____, с другой стороны, заключили настоящий договор о нижеследующем:</w:t>
            </w:r>
          </w:p>
        </w:tc>
        <w:tc>
          <w:tcPr>
            <w:tcW w:w="4748" w:type="dxa"/>
            <w:tcBorders>
              <w:top w:val="nil"/>
              <w:left w:val="nil"/>
              <w:bottom w:val="nil"/>
              <w:right w:val="nil"/>
              <w:insideH w:val="nil"/>
              <w:insideV w:val="nil"/>
            </w:tcBorders>
            <w:shd w:fill="auto" w:val="clear"/>
          </w:tcPr>
          <w:p>
            <w:pPr>
              <w:pStyle w:val="ConsPlusNonformat"/>
              <w:spacing w:lineRule="auto" w:line="240" w:before="0" w:after="0"/>
              <w:jc w:val="center"/>
              <w:rPr>
                <w:rFonts w:ascii="Times New Roman" w:hAnsi="Times New Roman" w:cs="Times New Roman"/>
                <w:color w:val="000000"/>
                <w:sz w:val="24"/>
                <w:szCs w:val="24"/>
                <w:u w:val="single"/>
                <w:lang w:val="en-US"/>
              </w:rPr>
            </w:pPr>
            <w:r>
              <w:rPr>
                <w:rFonts w:cs="Times New Roman" w:ascii="Times New Roman" w:hAnsi="Times New Roman"/>
                <w:color w:val="000000"/>
                <w:sz w:val="24"/>
                <w:szCs w:val="24"/>
                <w:u w:val="single"/>
                <w:lang w:val="en-US"/>
              </w:rPr>
              <w:t xml:space="preserve">________Author1, Author 2 __________, </w:t>
            </w:r>
          </w:p>
          <w:p>
            <w:pPr>
              <w:pStyle w:val="ConsPlusNonformat"/>
              <w:spacing w:lineRule="auto" w:line="240" w:before="0" w:after="0"/>
              <w:jc w:val="center"/>
              <w:rPr>
                <w:rFonts w:ascii="Times New Roman" w:hAnsi="Times New Roman" w:cs="Times New Roman"/>
                <w:sz w:val="24"/>
                <w:szCs w:val="24"/>
                <w:lang w:val="en-US"/>
              </w:rPr>
            </w:pPr>
            <w:r>
              <w:rPr>
                <w:rFonts w:cs="Times New Roman" w:ascii="Times New Roman" w:hAnsi="Times New Roman"/>
                <w:color w:val="000000"/>
                <w:szCs w:val="24"/>
                <w:lang w:val="en-US"/>
              </w:rPr>
              <w:t>(full name of each author)</w:t>
            </w:r>
          </w:p>
          <w:p>
            <w:pPr>
              <w:pStyle w:val="ConsPlusNonformat"/>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hereinafter referred to as “Licensor(s)” and Petersburg Nuclear Physics Institute named by B.P.</w:t>
            </w:r>
            <w:r>
              <w:rPr>
                <w:lang w:val="en-US"/>
              </w:rPr>
              <w:t> </w:t>
            </w:r>
            <w:r>
              <w:rPr>
                <w:rFonts w:cs="Times New Roman" w:ascii="Times New Roman" w:hAnsi="Times New Roman"/>
                <w:color w:val="000000"/>
                <w:sz w:val="24"/>
                <w:szCs w:val="24"/>
                <w:lang w:val="en-US"/>
              </w:rPr>
              <w:t>Konstantinov of National Research Centre “Kurchatov Institute”, hereinafter referred to as “Licensee”, represented by Deputy Director for Scientific Affairs Svetlana V. Sarantseva acting under power of attorney №____ dated __________, ______, agree as follows:</w:t>
            </w:r>
          </w:p>
          <w:p>
            <w:pPr>
              <w:pStyle w:val="ConsPlusNormal"/>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nformat"/>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1"/>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t>ПРЕДМЕТ ДОГОВОРА</w:t>
            </w:r>
          </w:p>
          <w:p>
            <w:pPr>
              <w:pStyle w:val="ConsPlusNormal"/>
              <w:numPr>
                <w:ilvl w:val="0"/>
                <w:numId w:val="0"/>
              </w:numPr>
              <w:spacing w:lineRule="auto" w:line="240" w:before="0" w:after="0"/>
              <w:ind w:left="720" w:hanging="0"/>
              <w:outlineLvl w:val="0"/>
              <w:rPr>
                <w:rFonts w:ascii="Times New Roman" w:hAnsi="Times New Roman" w:cs="Times New Roman"/>
                <w:sz w:val="24"/>
                <w:szCs w:val="24"/>
              </w:rPr>
            </w:pPr>
            <w:r>
              <w:rPr>
                <w:rFonts w:cs="Times New Roman" w:ascii="Times New Roman" w:hAnsi="Times New Roman"/>
                <w:sz w:val="24"/>
                <w:szCs w:val="24"/>
              </w:rP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lineRule="auto" w:line="240" w:before="0" w:after="0"/>
              <w:jc w:val="center"/>
              <w:outlineLvl w:val="0"/>
              <w:rPr>
                <w:rFonts w:ascii="Times New Roman" w:hAnsi="Times New Roman" w:cs="Times New Roman"/>
                <w:sz w:val="24"/>
                <w:szCs w:val="24"/>
                <w:lang w:val="en-US"/>
              </w:rPr>
            </w:pPr>
            <w:r>
              <w:rPr>
                <w:rFonts w:cs="Times New Roman" w:ascii="Times New Roman" w:hAnsi="Times New Roman"/>
                <w:color w:val="000000"/>
                <w:sz w:val="24"/>
                <w:szCs w:val="24"/>
                <w:lang w:val="en-US"/>
              </w:rPr>
              <w:t>1. SCOPE OF AGREEMENT</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1.1. Лицензиар безвозмездно предоставляет Лицензиату право использования произведения на условиях, предусмотренных настоящим договором. </w:t>
            </w:r>
          </w:p>
          <w:p>
            <w:pPr>
              <w:pStyle w:val="ConsPlusNormal"/>
              <w:spacing w:lineRule="auto" w:line="240" w:before="0" w:after="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ind w:firstLine="582"/>
              <w:jc w:val="both"/>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1.1. Licensor grants Licensee the right to use the works free of charge under conditions stated by this Agreement.</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color w:val="000000"/>
              </w:rPr>
            </w:pPr>
            <w:r>
              <w:rPr>
                <w:rFonts w:cs="Times New Roman" w:ascii="Times New Roman" w:hAnsi="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"____________________________________________" (далее - "Произведение").</w:t>
            </w:r>
          </w:p>
          <w:p>
            <w:pPr>
              <w:pStyle w:val="ConsPlusNormal"/>
              <w:spacing w:lineRule="auto" w:line="240" w:before="0" w:after="0"/>
              <w:ind w:firstLine="540"/>
              <w:jc w:val="both"/>
              <w:rPr>
                <w:color w:val="000000"/>
              </w:rPr>
            </w:pPr>
            <w:r>
              <w:rPr>
                <w:rFonts w:cs="Times New Roman" w:ascii="Times New Roman" w:hAnsi="Times New Roman"/>
                <w:color w:val="000000"/>
                <w:sz w:val="24"/>
                <w:szCs w:val="24"/>
              </w:rPr>
              <w:t>Объем произведения составляет ______________ страниц.</w:t>
            </w:r>
          </w:p>
          <w:p>
            <w:pPr>
              <w:pStyle w:val="ConsPlusNormal"/>
              <w:spacing w:lineRule="auto" w:line="240" w:before="0" w:after="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Произведение создано творческим трудом Лицензиара и является объектом авторского права в соответствии с Гражданским кодексом Российской Федерации.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1.2. The copyright work, the rights for which are being granted under this Agreement, is a scientific article (abstract of a scientific paper) in Russian (English) language titled "____________________________________________" (hereinafter referred to as “Work”).</w:t>
            </w:r>
          </w:p>
          <w:p>
            <w:pPr>
              <w:pStyle w:val="ConsPlusNormal"/>
              <w:spacing w:lineRule="auto" w:line="240" w:before="0" w:after="0"/>
              <w:ind w:firstLine="540"/>
              <w:jc w:val="both"/>
              <w:rPr>
                <w:color w:val="000000"/>
                <w:lang w:val="en-US"/>
              </w:rPr>
            </w:pPr>
            <w:r>
              <w:rPr>
                <w:rFonts w:cs="Times New Roman" w:ascii="Times New Roman" w:hAnsi="Times New Roman"/>
                <w:color w:val="000000"/>
                <w:sz w:val="24"/>
                <w:szCs w:val="24"/>
                <w:lang w:val="en-US"/>
              </w:rPr>
              <w:t xml:space="preserve">The Work size is __________ pages. </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The Work was created by the Licensor and, therefore, is a copyright-protected item in compliance with the Civil Code of the Russian Federation.</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ind w:firstLine="704"/>
              <w:jc w:val="both"/>
              <w:outlineLvl w:val="0"/>
              <w:rPr>
                <w:rFonts w:ascii="Times New Roman" w:hAnsi="Times New Roman" w:cs="Times New Roman"/>
                <w:color w:val="000000"/>
                <w:sz w:val="24"/>
                <w:szCs w:val="24"/>
              </w:rPr>
            </w:pPr>
            <w:r>
              <w:rPr>
                <w:rFonts w:cs="Times New Roman" w:ascii="Times New Roman" w:hAnsi="Times New Roman"/>
                <w:color w:val="000000"/>
                <w:sz w:val="24"/>
                <w:szCs w:val="24"/>
              </w:rPr>
              <w:t xml:space="preserve">1.3. Лицензиар </w:t>
            </w:r>
            <w:r>
              <w:rPr>
                <w:rFonts w:cs="Trebuchet MS" w:ascii="Times New Roman" w:hAnsi="Times New Roman"/>
                <w:color w:val="000000"/>
                <w:sz w:val="24"/>
                <w:szCs w:val="24"/>
              </w:rPr>
              <w:t>гарантирует, что</w:t>
            </w:r>
            <w:r>
              <w:rPr>
                <w:rFonts w:cs="Trebuchet MS" w:ascii="Times New Roman" w:hAnsi="Times New Roman"/>
                <w:b/>
                <w:bCs/>
                <w:color w:val="000000"/>
                <w:sz w:val="24"/>
                <w:szCs w:val="24"/>
              </w:rPr>
              <w:t xml:space="preserve"> </w:t>
            </w:r>
            <w:r>
              <w:rPr>
                <w:rFonts w:cs="Trebuchet MS" w:ascii="Times New Roman" w:hAnsi="Times New Roman"/>
                <w:color w:val="000000"/>
                <w:sz w:val="24"/>
                <w:szCs w:val="24"/>
              </w:rPr>
              <w:t>является правообладателем исключительных прав на Произведения, указанные в п.1.2. настоящего договора.</w:t>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ind w:firstLine="581"/>
              <w:jc w:val="both"/>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1.3. Licensor guarantees that he/she holds exclusive rights in and to the Works stated in paragraph 1.2. of this Agreement.  </w:t>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rPr>
              <w:t>2. ПРАВА, ПЕРЕДАВАЕМЫЕ ЛИЦЕНЗИАТУ.</w:t>
            </w:r>
          </w:p>
          <w:p>
            <w:pPr>
              <w:pStyle w:val="ConsPlusNormal"/>
              <w:spacing w:lineRule="auto" w:line="240" w:before="0" w:after="0"/>
              <w:jc w:val="center"/>
              <w:rPr>
                <w:rFonts w:ascii="Times New Roman" w:hAnsi="Times New Roman" w:cs="Times New Roman"/>
                <w:sz w:val="24"/>
                <w:szCs w:val="24"/>
              </w:rPr>
            </w:pPr>
            <w:r>
              <w:rPr>
                <w:rFonts w:cs="Times New Roman" w:ascii="Times New Roman" w:hAnsi="Times New Roman"/>
                <w:color w:val="000000"/>
                <w:sz w:val="24"/>
                <w:szCs w:val="24"/>
              </w:rPr>
              <w:t>ПРАВА И ОБЯЗАННОСТИ СТОРОН</w:t>
              <w:b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 GRANT OF LICENSE.</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RIGHTS AND OBLIGATIONS.</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2.1. По настоящему договору Лицензиар предоставляет Лицензиату право использовать произведение следующими способами:</w:t>
            </w:r>
          </w:p>
          <w:p>
            <w:pPr>
              <w:pStyle w:val="ConsPlusNormal"/>
              <w:spacing w:lineRule="auto" w:line="240" w:before="0" w:after="0"/>
              <w:ind w:firstLine="540"/>
              <w:jc w:val="both"/>
              <w:rPr>
                <w:color w:val="000000"/>
              </w:rPr>
            </w:pPr>
            <w:r>
              <w:rPr>
                <w:rFonts w:cs="Times New Roman" w:ascii="Times New Roman" w:hAnsi="Times New Roman"/>
                <w:color w:val="000000"/>
                <w:sz w:val="24"/>
                <w:szCs w:val="24"/>
              </w:rPr>
              <w:t>- воспроизведение произведения (право на воспроизведение)</w:t>
            </w:r>
            <w:r>
              <w:rPr>
                <w:rFonts w:cs="Trebuchet MS" w:ascii="Times New Roman" w:hAnsi="Times New Roman"/>
                <w:color w:val="000000"/>
                <w:sz w:val="24"/>
                <w:szCs w:val="24"/>
              </w:rPr>
              <w:t>, в том числе право на создание электронных копий Произведения, а также право на изготовление репринтных копий</w:t>
            </w:r>
            <w:r>
              <w:rPr>
                <w:rFonts w:cs="Times New Roman" w:ascii="Times New Roman" w:hAnsi="Times New Roman"/>
                <w:color w:val="000000"/>
                <w:sz w:val="24"/>
                <w:szCs w:val="24"/>
              </w:rPr>
              <w:t>;</w:t>
            </w:r>
          </w:p>
          <w:p>
            <w:pPr>
              <w:pStyle w:val="ConsPlusNormal"/>
              <w:spacing w:lineRule="auto" w:line="240" w:before="0" w:after="0"/>
              <w:ind w:firstLine="540"/>
              <w:jc w:val="both"/>
              <w:rPr>
                <w:color w:val="000000"/>
              </w:rPr>
            </w:pPr>
            <w:r>
              <w:rPr>
                <w:rFonts w:cs="Times New Roman" w:ascii="Times New Roman" w:hAnsi="Times New Roman"/>
                <w:color w:val="000000"/>
                <w:sz w:val="24"/>
                <w:szCs w:val="24"/>
              </w:rPr>
              <w:t>- распространение экземпляров произведения любым способом (право на распространение)</w:t>
            </w:r>
            <w:r>
              <w:rPr>
                <w:rFonts w:cs="Trebuchet MS" w:ascii="Times New Roman" w:hAnsi="Times New Roman"/>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Pr>
                <w:rFonts w:cs="Times New Roman" w:ascii="Times New Roman" w:hAnsi="Times New Roman"/>
                <w:color w:val="000000"/>
                <w:sz w:val="24"/>
                <w:szCs w:val="24"/>
              </w:rPr>
              <w:t>;</w:t>
            </w:r>
          </w:p>
          <w:p>
            <w:pPr>
              <w:pStyle w:val="ConsPlusNormal"/>
              <w:spacing w:lineRule="auto" w:line="240" w:before="0" w:after="0"/>
              <w:ind w:firstLine="540"/>
              <w:jc w:val="both"/>
              <w:rPr>
                <w:color w:val="000000"/>
              </w:rPr>
            </w:pPr>
            <w:r>
              <w:rPr>
                <w:rFonts w:cs="Times New Roman" w:ascii="Times New Roman" w:hAnsi="Times New Roman"/>
                <w:color w:val="000000"/>
                <w:sz w:val="24"/>
                <w:szCs w:val="24"/>
              </w:rPr>
              <w:t>- импорт экземпляров произведения в целях распространения (право на импорт);</w:t>
            </w:r>
          </w:p>
          <w:p>
            <w:pPr>
              <w:pStyle w:val="ConsPlusNormal"/>
              <w:spacing w:lineRule="auto" w:line="240" w:before="0" w:after="0"/>
              <w:ind w:firstLine="540"/>
              <w:jc w:val="both"/>
              <w:rPr>
                <w:color w:val="000000"/>
              </w:rPr>
            </w:pPr>
            <w:r>
              <w:rPr>
                <w:rFonts w:cs="Times New Roman" w:ascii="Times New Roman" w:hAnsi="Times New Roman"/>
                <w:color w:val="000000"/>
                <w:sz w:val="24"/>
                <w:szCs w:val="24"/>
              </w:rPr>
              <w:t>- перевод или другая переработка произведения;</w:t>
            </w:r>
          </w:p>
          <w:p>
            <w:pPr>
              <w:pStyle w:val="ConsPlusNormal"/>
              <w:spacing w:lineRule="auto" w:line="240" w:before="0" w:after="0"/>
              <w:ind w:firstLine="540"/>
              <w:jc w:val="both"/>
              <w:rPr>
                <w:rFonts w:ascii="Times New Roman" w:hAnsi="Times New Roman"/>
                <w:color w:val="000000"/>
                <w:sz w:val="24"/>
                <w:szCs w:val="24"/>
              </w:rPr>
            </w:pPr>
            <w:r>
              <w:rPr>
                <w:rFonts w:cs="Times New Roman" w:ascii="Times New Roman" w:hAnsi="Times New Roman"/>
                <w:color w:val="000000"/>
                <w:sz w:val="24"/>
                <w:szCs w:val="24"/>
              </w:rPr>
              <w:t xml:space="preserve">- </w:t>
            </w:r>
            <w:r>
              <w:rPr>
                <w:rFonts w:cs="Trebuchet MS" w:ascii="Times New Roman" w:hAnsi="Times New Roman"/>
                <w:color w:val="000000"/>
                <w:sz w:val="24"/>
                <w:szCs w:val="24"/>
              </w:rPr>
              <w:t>право на извлечение метаданных (переработку) Произведений и использование их для наполнения баз данных в соответствии с условиями настоящего договора.</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2.1. In compliance with this Agreement, Licensor grants Licensee the rights to use the Work as follows:  </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to reproduce the Work (reproduction right), including the right to create digital copies and reprints;</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 to distribute copies of the Work by any means (distribution right), including the right to upload digital copies of it to databases of the Internet scientific information resources distributing separate parts of the Work (articles); </w:t>
            </w:r>
          </w:p>
          <w:p>
            <w:pPr>
              <w:pStyle w:val="ConsPlusNormal"/>
              <w:spacing w:lineRule="auto" w:line="240" w:before="0" w:after="0"/>
              <w:ind w:firstLine="540"/>
              <w:jc w:val="both"/>
              <w:rPr>
                <w:color w:val="000000"/>
                <w:lang w:val="en-US"/>
              </w:rPr>
            </w:pPr>
            <w:r>
              <w:rPr>
                <w:rFonts w:cs="Times New Roman" w:ascii="Times New Roman" w:hAnsi="Times New Roman"/>
                <w:color w:val="000000"/>
                <w:sz w:val="24"/>
                <w:szCs w:val="24"/>
                <w:lang w:val="en-US"/>
              </w:rPr>
              <w:t>- to import copies of the Work for the purposes of its distribution (importation right);</w:t>
            </w:r>
          </w:p>
          <w:p>
            <w:pPr>
              <w:pStyle w:val="ConsPlusNormal"/>
              <w:spacing w:lineRule="auto" w:line="240" w:before="0" w:after="0"/>
              <w:ind w:firstLine="540"/>
              <w:jc w:val="both"/>
              <w:rPr>
                <w:color w:val="000000"/>
                <w:lang w:val="en-US"/>
              </w:rPr>
            </w:pPr>
            <w:r>
              <w:rPr>
                <w:rFonts w:cs="Times New Roman" w:ascii="Times New Roman" w:hAnsi="Times New Roman"/>
                <w:color w:val="000000"/>
                <w:sz w:val="24"/>
                <w:szCs w:val="24"/>
                <w:lang w:val="en-US"/>
              </w:rPr>
              <w:t xml:space="preserve">- to translate or otherwise process the Work; </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 to extract metadata of the Work (processing) and use it for the purposes of filling in the databases in compliance with this Agreement.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pPr>
            <w:r>
              <w:rPr>
                <w:rFonts w:cs="Times New Roman" w:ascii="Times New Roman" w:hAnsi="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cs="Times New Roman" w:ascii="Times New Roman" w:hAnsi="Times New Roman"/>
                <w:color w:val="000000"/>
                <w:sz w:val="24"/>
                <w:szCs w:val="24"/>
              </w:rPr>
              <w:t xml:space="preserve"> настоящего договора, не ограничена.</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2.2. The territory in which the Licensee is allowed to use the Work as stated in paragraph 2.1. of this Agreement is not limited.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color w:val="000000"/>
              </w:rPr>
            </w:pPr>
            <w:r>
              <w:rPr>
                <w:rFonts w:cs="Times New Roman" w:ascii="Times New Roman" w:hAnsi="Times New Roman"/>
                <w:color w:val="000000"/>
                <w:sz w:val="24"/>
                <w:szCs w:val="24"/>
              </w:rPr>
              <w:t xml:space="preserve">2.3. Лицензиар вправе самостоятельно использовать произведение или предоставлять </w:t>
            </w:r>
            <w:r>
              <w:rPr>
                <w:rFonts w:cs="Trebuchet MS" w:ascii="Times New Roman" w:hAnsi="Times New Roman"/>
                <w:color w:val="000000"/>
                <w:sz w:val="24"/>
                <w:szCs w:val="24"/>
              </w:rPr>
              <w:t xml:space="preserve">перечисленные в п. 2.1. настоящего договора права </w:t>
            </w:r>
            <w:r>
              <w:rPr>
                <w:rFonts w:cs="Times New Roman" w:ascii="Times New Roman" w:hAnsi="Times New Roman"/>
                <w:color w:val="000000"/>
                <w:sz w:val="24"/>
                <w:szCs w:val="24"/>
              </w:rPr>
              <w:t>на его использование третьим лицам (простая (неисключительная лицензия))</w:t>
            </w:r>
            <w:r>
              <w:rPr>
                <w:rFonts w:cs="Trebuchet MS" w:ascii="Times New Roman" w:hAnsi="Times New Roman"/>
                <w:color w:val="000000"/>
                <w:sz w:val="24"/>
                <w:szCs w:val="24"/>
              </w:rPr>
              <w:t xml:space="preserve"> без уведомления об этом </w:t>
            </w:r>
            <w:r>
              <w:rPr>
                <w:rFonts w:cs="Times New Roman" w:ascii="Times New Roman" w:hAnsi="Times New Roman"/>
                <w:color w:val="000000"/>
                <w:sz w:val="24"/>
                <w:szCs w:val="24"/>
              </w:rPr>
              <w:t>Лицензиата.</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2.3. Licensor has a right to use the Work or grant rights for its usage listed in paragraph 2.1. of this Agreement to third parties (simple (non-exclusive) license)</w:t>
            </w:r>
            <w:r>
              <w:rPr>
                <w:rFonts w:cs="Times New Roman" w:ascii="Times New Roman" w:hAnsi="Times New Roman"/>
                <w:strike/>
                <w:color w:val="000000"/>
                <w:sz w:val="24"/>
                <w:szCs w:val="24"/>
                <w:lang w:val="en-US"/>
              </w:rPr>
              <w:t>)</w:t>
            </w:r>
            <w:r>
              <w:rPr>
                <w:rFonts w:cs="Times New Roman" w:ascii="Times New Roman" w:hAnsi="Times New Roman"/>
                <w:color w:val="000000"/>
                <w:sz w:val="24"/>
                <w:szCs w:val="24"/>
                <w:lang w:val="en-US"/>
              </w:rPr>
              <w:t xml:space="preserve"> without notifying the Licensee.</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pPr>
            <w:r>
              <w:rPr>
                <w:rFonts w:cs="Times New Roman" w:ascii="Times New Roman" w:hAnsi="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cs="Times New Roman" w:ascii="Times New Roman" w:hAnsi="Times New Roman"/>
                <w:color w:val="000000"/>
                <w:sz w:val="24"/>
                <w:szCs w:val="24"/>
              </w:rPr>
              <w:t xml:space="preserve"> настоящего договора, передаются Лицензиаром Лицензиату для использования сроком на 10 лет.</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rPr>
              <w:t xml:space="preserve">Если ни одна из сторон не направит другой стороне письменное уведомление о расторжении договора не позднее, чем за два месяца до окончания срока действия договора, то действие договора пролонгируется на тот же срок на тех же условиях. Количество пролонгаций не ограничено. </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2.4. The rights to use the Work as stated in paragraph 2.1. of this Agreement are granted to Licensee by the Licensor for a term of 10 years.</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The Agreement is deemed prolonged for the same term and on the same conditions if none of the Parties expresses the intention to terminate the Agreement by sending the other Party a written notification no later than two months before the expiration of the Agreement. The number of prolongations is not limited.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2.5. The manuscript of the work, the rights to which are granted under this Agreement, shall be delivered to the Licensee in digital format.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2.6. При предварительном письменном согласии Лицензиара Лицензиат может по договору предоставить право использования произведения другому лицу (сублицензионный договор).</w:t>
            </w:r>
          </w:p>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По сублицензионному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pPr>
              <w:pStyle w:val="ConsPlusNormal"/>
              <w:spacing w:lineRule="auto" w:line="240" w:before="0" w:after="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Ответственность перед Лицензиаром за действия сублицензиата несет Лицензиат (договором может быть предусмотрено иное).</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2.6. With the prior consent of the Licensor, Licensee can transfer the right to use the Work under this Agreement to a third party (sublicense agreement).</w:t>
            </w:r>
          </w:p>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Under sublicense agreement, sublicensee can be granted the right to use the Work only within the rights and means of usage granted to Licensee under this Agreement.</w:t>
            </w:r>
          </w:p>
          <w:p>
            <w:pPr>
              <w:pStyle w:val="ConsPlusNormal"/>
              <w:numPr>
                <w:ilvl w:val="0"/>
                <w:numId w:val="0"/>
              </w:numPr>
              <w:spacing w:lineRule="auto" w:line="240" w:before="0" w:after="0"/>
              <w:ind w:firstLine="582"/>
              <w:jc w:val="both"/>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Licensee shall be responsible for the actions of its sublicensee (different terms may be stated by the Agreement).</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rebuchet MS" w:ascii="Times New Roman" w:hAnsi="Times New Roman"/>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t xml:space="preserve">2.7. Licensee shall respect the rights of the Author of the Work as stipulated by current legislation, protect them and take all necessary measures in order to prevent the copyright violation by third parties.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rebuchet MS" w:ascii="Times New Roman" w:hAnsi="Times New Roman"/>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t>2.8. Licensee has a right to entitle third parties to keep the archive copies of the Works after the agreement with the third party is expired, if the right of the end user to retain access to such copies was granted by the agreement with the third party prior to the termination of this Agreement. These rights are granted until all the obligations of the third party towards the end users are fulfilled.</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rebuchet MS" w:ascii="Times New Roman" w:hAnsi="Times New Roman"/>
                <w:color w:val="000000"/>
                <w:sz w:val="24"/>
                <w:szCs w:val="24"/>
              </w:rPr>
              <w:t>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t xml:space="preserve">2.9. Licensee has a right to use the metadata of the Works (title, name of author (copyright holder), abstracts, bibliographical remarks, etc.) free of charge for the purposes of adding it to different databases and composite works.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olor w:val="000000"/>
                <w:sz w:val="24"/>
                <w:szCs w:val="24"/>
              </w:rPr>
            </w:pPr>
            <w:r>
              <w:rPr>
                <w:rFonts w:cs="Trebuchet MS" w:ascii="Times New Roman" w:hAnsi="Times New Roman"/>
                <w:color w:val="000000"/>
                <w:sz w:val="24"/>
                <w:szCs w:val="24"/>
              </w:rPr>
              <w:t>2.10. Лицензиат имеет право на переработку Произведений в рамках, оправдываемых целью извлечения метаданных.</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t xml:space="preserve">2.10. Licensee has a right to process the Works in order to extract metadata.  </w:t>
            </w:r>
          </w:p>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rPr>
            </w:pPr>
            <w:r>
              <w:rPr>
                <w:rFonts w:cs="Times New Roman" w:ascii="Times New Roman" w:hAnsi="Times New Roman"/>
                <w:color w:val="000000"/>
                <w:sz w:val="24"/>
                <w:szCs w:val="24"/>
              </w:rPr>
              <w:t xml:space="preserve">2.11. Лицензиат не предоставляет </w:t>
            </w:r>
            <w:bookmarkStart w:id="1" w:name="__DdeLink__19709_2334590024"/>
            <w:r>
              <w:rPr>
                <w:rFonts w:cs="Times New Roman" w:ascii="Times New Roman" w:hAnsi="Times New Roman"/>
                <w:color w:val="000000"/>
                <w:sz w:val="24"/>
                <w:szCs w:val="24"/>
              </w:rPr>
              <w:t>Лицензиару</w:t>
            </w:r>
            <w:bookmarkEnd w:id="1"/>
            <w:r>
              <w:rPr>
                <w:rFonts w:cs="Times New Roman" w:ascii="Times New Roman" w:hAnsi="Times New Roman"/>
                <w:color w:val="000000"/>
                <w:sz w:val="24"/>
                <w:szCs w:val="24"/>
              </w:rPr>
              <w:t xml:space="preserve"> отчеты об использовании произведения.</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2.11. Licensee is not obliged to provide the Licensor with reports on the use of the work.  </w:t>
            </w:r>
          </w:p>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olor w:val="000000"/>
                <w:sz w:val="24"/>
                <w:szCs w:val="24"/>
              </w:rPr>
            </w:pPr>
            <w:r>
              <w:rPr>
                <w:rFonts w:cs="Trebuchet MS" w:ascii="Times New Roman" w:hAnsi="Times New Roman"/>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lang w:val="en-US"/>
              </w:rPr>
            </w:pPr>
            <w:bookmarkStart w:id="2" w:name="P38"/>
            <w:bookmarkEnd w:id="2"/>
            <w:r>
              <w:rPr>
                <w:rFonts w:cs="Trebuchet MS" w:ascii="Times New Roman" w:hAnsi="Times New Roman"/>
                <w:color w:val="000000"/>
                <w:sz w:val="24"/>
                <w:szCs w:val="24"/>
                <w:lang w:val="en-US"/>
              </w:rPr>
              <w:t xml:space="preserve">2.12. The Parties agree that, in compliance with the paragraph 160 of the Civil Code of the Russian Federation, they accept and recognize reproduction of the text of this Agreement and signatures of the Parties on the Agreement and respective documents by means of mechanical, electronic and other types of replication of personal handwritten signature and the text of the Agreement which have the same legal force as the original signature of the Party or the original document. Facsimile (digital) copies of the documents are considered valid and have the same legal force as the original.  </w:t>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rPr>
              <w:t>3. ОТВЕТСТВЕННОСТЬ СТОРОН</w:t>
              <w:b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lineRule="auto" w:line="240" w:before="0" w:after="0"/>
              <w:jc w:val="center"/>
              <w:outlineLvl w:val="0"/>
              <w:rPr>
                <w:rFonts w:ascii="Times New Roman" w:hAnsi="Times New Roman" w:cs="Times New Roman"/>
                <w:sz w:val="24"/>
                <w:szCs w:val="24"/>
                <w:lang w:val="en-US"/>
              </w:rPr>
            </w:pPr>
            <w:r>
              <w:rPr>
                <w:rFonts w:cs="Times New Roman" w:ascii="Times New Roman" w:hAnsi="Times New Roman"/>
                <w:color w:val="000000"/>
                <w:sz w:val="24"/>
                <w:szCs w:val="24"/>
                <w:lang w:val="en-US"/>
              </w:rPr>
              <w:t xml:space="preserve">3. LIABILITY OF THE PARTIES </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ind w:firstLine="581"/>
              <w:jc w:val="both"/>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3.1. If Licensee uses the Work by means other than stated in this Agreement, or after termination of this Agreement, or in any other way beyond the rights granted to Licensee by this Agreement, Licensee shall be held liable for violation of exclusive right to the result of intellectual property governed by the law.</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rebuchet MS" w:ascii="Times New Roman" w:hAnsi="Times New Roman"/>
                <w:color w:val="000000"/>
                <w:sz w:val="24"/>
                <w:szCs w:val="24"/>
              </w:rPr>
              <w:t xml:space="preserve">3.2. Ответственность </w:t>
            </w:r>
            <w:r>
              <w:rPr>
                <w:rFonts w:cs="Times New Roman" w:ascii="Times New Roman" w:hAnsi="Times New Roman"/>
                <w:color w:val="000000"/>
                <w:sz w:val="24"/>
                <w:szCs w:val="24"/>
              </w:rPr>
              <w:t>Лицензиара</w:t>
            </w:r>
            <w:r>
              <w:rPr>
                <w:rFonts w:cs="Trebuchet MS" w:ascii="Times New Roman" w:hAnsi="Times New Roman"/>
                <w:color w:val="000000"/>
                <w:sz w:val="24"/>
                <w:szCs w:val="24"/>
              </w:rPr>
              <w:t xml:space="preserve"> по договору ограничена суммой реального ущерба, причиненного Лицензиату.</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rebuchet MS" w:ascii="Times New Roman" w:hAnsi="Times New Roman"/>
                <w:color w:val="000000"/>
                <w:sz w:val="24"/>
                <w:szCs w:val="24"/>
                <w:lang w:val="en-US"/>
              </w:rPr>
              <w:t>3.2. The liability of Licensor is limited within this Agreement by the value of a real damage inflicted on Licensee.</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rebuchet MS" w:ascii="Times New Roman" w:hAnsi="Times New Roman"/>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Pr>
                <w:rFonts w:cs="Times New Roman" w:ascii="Times New Roman" w:hAnsi="Times New Roman"/>
                <w:color w:val="000000"/>
                <w:sz w:val="24"/>
                <w:szCs w:val="24"/>
              </w:rPr>
              <w:t xml:space="preserve">Лицензиаром </w:t>
            </w:r>
            <w:r>
              <w:rPr>
                <w:rFonts w:cs="Trebuchet MS" w:ascii="Times New Roman" w:hAnsi="Times New Roman"/>
                <w:color w:val="000000"/>
                <w:sz w:val="24"/>
                <w:szCs w:val="24"/>
              </w:rPr>
              <w:t xml:space="preserve">исключительных прав на Произведения, указанные в п. 1.2 настоящего Договора, </w:t>
            </w:r>
            <w:r>
              <w:rPr>
                <w:rFonts w:cs="Times New Roman" w:ascii="Times New Roman" w:hAnsi="Times New Roman"/>
                <w:color w:val="000000"/>
                <w:sz w:val="24"/>
                <w:szCs w:val="24"/>
              </w:rPr>
              <w:t>Лицензиар</w:t>
            </w:r>
            <w:r>
              <w:rPr>
                <w:rFonts w:cs="Trebuchet MS" w:ascii="Times New Roman" w:hAnsi="Times New Roman"/>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rebuchet MS"/>
                <w:color w:val="000000"/>
                <w:sz w:val="24"/>
                <w:szCs w:val="24"/>
                <w:lang w:val="en-US"/>
              </w:rPr>
            </w:pPr>
            <w:r>
              <w:rPr>
                <w:rFonts w:cs="Trebuchet MS" w:ascii="Times New Roman" w:hAnsi="Times New Roman"/>
                <w:color w:val="000000"/>
                <w:sz w:val="24"/>
                <w:szCs w:val="24"/>
                <w:lang w:val="en-US"/>
              </w:rPr>
              <w:t xml:space="preserve">3.3. If third parties (authors, other copyright holders or their representatives) lay claims or take legal actions for copyright infringement protection against Licensee for violation of exclusive copyright for the Works listed in paragraph 1.2. of this Agreement, Licensor shall provide the Licensee with all the necessary documents and assist in negotiations with such third parties. </w:t>
            </w:r>
          </w:p>
          <w:p>
            <w:pPr>
              <w:pStyle w:val="ConsPlusNonformat"/>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lang w:val="en-US"/>
              </w:rPr>
              <w:br/>
            </w:r>
            <w:r>
              <w:rPr>
                <w:rFonts w:cs="Times New Roman" w:ascii="Times New Roman" w:hAnsi="Times New Roman"/>
                <w:color w:val="000000"/>
                <w:sz w:val="24"/>
                <w:szCs w:val="24"/>
              </w:rPr>
              <w:t>4. РАЗРЕШЕНИЕ СПОРОВ</w:t>
              <w:b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rPr>
              <w:br/>
              <w:t xml:space="preserve">4. </w:t>
            </w:r>
            <w:r>
              <w:rPr>
                <w:rFonts w:cs="Times New Roman" w:ascii="Times New Roman" w:hAnsi="Times New Roman"/>
                <w:color w:val="000000"/>
                <w:sz w:val="24"/>
                <w:szCs w:val="24"/>
                <w:lang w:val="en-US"/>
              </w:rPr>
              <w:t>DISPUTE</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RESOLUTION</w:t>
            </w:r>
            <w:r>
              <w:rPr>
                <w:rFonts w:cs="Times New Roman" w:ascii="Times New Roman" w:hAnsi="Times New Roman"/>
                <w:color w:val="000000"/>
                <w:sz w:val="24"/>
                <w:szCs w:val="24"/>
              </w:rPr>
              <w:t xml:space="preserve"> </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4.1. All disputes and differences arising between the Parties in connection with the issues not settled by this Agreement shall be resolved by means of negotiations in accordance with the current laws of the Russian Federation.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4.2. При неурегулировании в процессе переговоров спорных вопросов споры разрешаются в суде по месту нахождения Лицензиата.</w:t>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ind w:firstLine="582"/>
              <w:jc w:val="both"/>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4.2. If the disputes cannot be resolved by negotiation, it shall be referred to arbitration and settled in a court. The seat of the arbitration shall be the location of Licensee.</w:t>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lang w:val="en-US"/>
              </w:rPr>
              <w:br/>
            </w:r>
            <w:r>
              <w:rPr>
                <w:rFonts w:cs="Times New Roman" w:ascii="Times New Roman" w:hAnsi="Times New Roman"/>
                <w:color w:val="000000"/>
                <w:sz w:val="24"/>
                <w:szCs w:val="24"/>
              </w:rPr>
              <w:t>5. СРОК ДЕЙСТВИЯ ДОГОВОРА</w:t>
              <w:b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rPr>
              <w:br/>
              <w:t xml:space="preserve">5. </w:t>
            </w:r>
            <w:r>
              <w:rPr>
                <w:rFonts w:cs="Times New Roman" w:ascii="Times New Roman" w:hAnsi="Times New Roman"/>
                <w:color w:val="000000"/>
                <w:sz w:val="24"/>
                <w:szCs w:val="24"/>
                <w:lang w:val="en-US"/>
              </w:rPr>
              <w:t>TERM</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OF</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AGREEMENT</w:t>
            </w:r>
            <w:r>
              <w:rPr>
                <w:rFonts w:cs="Times New Roman" w:ascii="Times New Roman" w:hAnsi="Times New Roman"/>
                <w:color w:val="000000"/>
                <w:sz w:val="24"/>
                <w:szCs w:val="24"/>
              </w:rPr>
              <w:t xml:space="preserve"> </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pPr>
            <w:r>
              <w:rPr>
                <w:rFonts w:cs="Times New Roman" w:ascii="Times New Roman" w:hAnsi="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Pr>
                  <w:rStyle w:val="ListLabel1"/>
                  <w:color w:val="000000"/>
                </w:rPr>
                <w:t>п. 2.4</w:t>
              </w:r>
            </w:hyperlink>
            <w:r>
              <w:rPr>
                <w:rFonts w:cs="Times New Roman" w:ascii="Times New Roman" w:hAnsi="Times New Roman"/>
                <w:color w:val="000000"/>
                <w:sz w:val="24"/>
                <w:szCs w:val="24"/>
              </w:rPr>
              <w:t xml:space="preserve"> настоящего договора.</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5.1. This Agreement shall come into force on the date it is signed by the Parties and be valid for the term stated in paragraph 2.4 of this Agreement.</w:t>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lang w:val="en-US"/>
              </w:rPr>
              <w:br/>
            </w:r>
            <w:r>
              <w:rPr>
                <w:rFonts w:cs="Times New Roman" w:ascii="Times New Roman" w:hAnsi="Times New Roman"/>
                <w:color w:val="000000"/>
                <w:sz w:val="24"/>
                <w:szCs w:val="24"/>
              </w:rPr>
              <w:t>6. РАСТОРЖЕНИЕ ДОГОВОРА</w:t>
              <w:b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rPr>
              <w:br/>
              <w:t xml:space="preserve">6. </w:t>
            </w:r>
            <w:r>
              <w:rPr>
                <w:rFonts w:cs="Times New Roman" w:ascii="Times New Roman" w:hAnsi="Times New Roman"/>
                <w:color w:val="000000"/>
                <w:sz w:val="24"/>
                <w:szCs w:val="24"/>
                <w:lang w:val="en-US"/>
              </w:rPr>
              <w:t>TERMINATION</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OF</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AGREEMENT</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6.1. Стороны вправе досрочно расторгнуть настоящий договор по письменному соглашению.</w:t>
            </w:r>
          </w:p>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6.1. The Parties have a right to bring this Agreement to an early termination by written consent.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rPr>
            </w:pPr>
            <w:r>
              <w:rPr>
                <w:rFonts w:cs="Times New Roman" w:ascii="Times New Roman" w:hAnsi="Times New Roman"/>
                <w:color w:val="000000"/>
                <w:sz w:val="24"/>
                <w:szCs w:val="24"/>
              </w:rPr>
              <w:br/>
              <w:t>7. ДОПОЛНИТЕЛЬНЫЕ УСЛОВИЯ И ЗАКЛЮЧИТЕЛЬНЫЕ ПОЛОЖЕНИЯ</w:t>
              <w:b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sz w:val="24"/>
                <w:szCs w:val="24"/>
                <w:lang w:val="en-US"/>
              </w:rPr>
            </w:pPr>
            <w:r>
              <w:rPr>
                <w:rFonts w:cs="Times New Roman" w:ascii="Times New Roman" w:hAnsi="Times New Roman"/>
                <w:color w:val="000000"/>
                <w:sz w:val="24"/>
                <w:szCs w:val="24"/>
                <w:lang w:val="en-US"/>
              </w:rPr>
              <w:br/>
              <w:t xml:space="preserve">7. SUPPLEMENTARY CONDITIONS AND FINAL PROVISIONS </w:t>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7.1. All other issues not settled by this Agreement shall be settled in accordance with the current laws of the Russian Federation.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7.2. Any changes and amendments to this Agreement shall become valid only if executed in written form and signed by the Parties or their duly authorized representatives.</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7.3. All the notifications and messages within this Agreement shell be sent by each Party to the other in written form.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ind w:firstLine="562"/>
              <w:jc w:val="both"/>
              <w:outlineLvl w:val="0"/>
              <w:rPr>
                <w:rFonts w:ascii="Times New Roman" w:hAnsi="Times New Roman" w:cs="Times New Roman"/>
                <w:color w:val="000000"/>
                <w:sz w:val="24"/>
                <w:szCs w:val="24"/>
              </w:rPr>
            </w:pPr>
            <w:r>
              <w:rPr>
                <w:rFonts w:cs="Times New Roman" w:ascii="Times New Roman" w:hAnsi="Times New Roman"/>
                <w:color w:val="000000"/>
                <w:sz w:val="24"/>
                <w:szCs w:val="24"/>
              </w:rPr>
              <w:t>7.4. Настоящий договор составлен в двух экземплярах на двух языках (русский и английский), имеющих одинаковую юридическую силу, из которых один находится у Лицензиара, второй - у Лицензиата.</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7.4. This Agreement has been executed in two copies in two languages (Russian and English), each having equal legal force: one for Licensor and one for Licensee.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sz w:val="24"/>
                <w:szCs w:val="24"/>
              </w:rPr>
            </w:pPr>
            <w:r>
              <w:rPr>
                <w:rFonts w:cs="Times New Roman" w:ascii="Times New Roman" w:hAnsi="Times New Roman"/>
                <w:color w:val="000000"/>
                <w:sz w:val="24"/>
                <w:szCs w:val="24"/>
              </w:rPr>
              <w:t>7.5. Стороны обязуются своевременно письменно извещать друг друга об изменении своих реквизитов.</w:t>
            </w:r>
          </w:p>
        </w:tc>
        <w:tc>
          <w:tcPr>
            <w:tcW w:w="4748" w:type="dxa"/>
            <w:tcBorders>
              <w:top w:val="nil"/>
              <w:left w:val="nil"/>
              <w:bottom w:val="nil"/>
              <w:right w:val="nil"/>
              <w:insideH w:val="nil"/>
              <w:insideV w:val="nil"/>
            </w:tcBorders>
            <w:shd w:fill="auto" w:val="clear"/>
          </w:tcPr>
          <w:p>
            <w:pPr>
              <w:pStyle w:val="ConsPlusNormal"/>
              <w:spacing w:lineRule="auto" w:line="240" w:before="0" w:after="0"/>
              <w:ind w:firstLine="54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 xml:space="preserve">7.5. The Parties shall be bound to inform each other of changes in their requisites in due time and in written form. </w:t>
            </w:r>
          </w:p>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br/>
              <w:t xml:space="preserve">8. </w:t>
            </w:r>
            <w:r>
              <w:rPr>
                <w:rFonts w:cs="Times New Roman" w:ascii="Times New Roman" w:hAnsi="Times New Roman"/>
                <w:color w:val="000000"/>
                <w:sz w:val="24"/>
                <w:szCs w:val="24"/>
              </w:rPr>
              <w:t>АДРЕСА</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rPr>
              <w:t>И</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rPr>
              <w:t>РЕКВИЗИТЫ</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rPr>
              <w:t>СТОРОН</w:t>
            </w:r>
          </w:p>
          <w:p>
            <w:pPr>
              <w:pStyle w:val="ConsPlusNonformat"/>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br/>
              <w:t xml:space="preserve">8. LEGAL ADDRESSES AND REQUISITES OF THE PARTIES </w:t>
              <w:br/>
            </w:r>
          </w:p>
        </w:tc>
      </w:tr>
      <w:tr>
        <w:trPr/>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rPr>
              <w:t>Лицензиар</w:t>
            </w:r>
            <w:r>
              <w:rPr>
                <w:rFonts w:cs="Times New Roman" w:ascii="Times New Roman" w:hAnsi="Times New Roman"/>
                <w:color w:val="000000"/>
                <w:sz w:val="24"/>
                <w:szCs w:val="24"/>
                <w:lang w:val="en-US"/>
              </w:rPr>
              <w:t xml:space="preserve"> </w:t>
            </w:r>
          </w:p>
          <w:p>
            <w:pPr>
              <w:pStyle w:val="ConsPlusNormal"/>
              <w:numPr>
                <w:ilvl w:val="0"/>
                <w:numId w:val="0"/>
              </w:numPr>
              <w:spacing w:lineRule="auto" w:line="240" w:before="0" w:after="0"/>
              <w:outlineLvl w:val="0"/>
              <w:rPr>
                <w:rFonts w:ascii="Times New Roman" w:hAnsi="Times New Roman" w:cs="Times New Roman"/>
                <w:color w:val="000000"/>
                <w:sz w:val="24"/>
                <w:szCs w:val="24"/>
                <w:lang w:val="en-US"/>
              </w:rPr>
            </w:pPr>
            <w:r>
              <w:rPr>
                <w:rFonts w:ascii="Times New Roman" w:hAnsi="Times New Roman"/>
                <w:bCs/>
                <w:color w:val="000000"/>
                <w:sz w:val="24"/>
                <w:szCs w:val="24"/>
                <w:lang w:val="en-US"/>
              </w:rPr>
              <w:t>Licensor</w:t>
              <w:tab/>
            </w:r>
          </w:p>
        </w:tc>
        <w:tc>
          <w:tcPr>
            <w:tcW w:w="4748" w:type="dxa"/>
            <w:tcBorders>
              <w:top w:val="nil"/>
              <w:left w:val="nil"/>
              <w:bottom w:val="nil"/>
              <w:right w:val="nil"/>
              <w:insideH w:val="nil"/>
              <w:insideV w:val="nil"/>
            </w:tcBorders>
            <w:shd w:fill="auto" w:val="clear"/>
          </w:tcPr>
          <w:p>
            <w:pPr>
              <w:pStyle w:val="ConsPlusNormal"/>
              <w:numPr>
                <w:ilvl w:val="0"/>
                <w:numId w:val="0"/>
              </w:numPr>
              <w:spacing w:lineRule="auto" w:line="240" w:before="0" w:after="0"/>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rPr>
              <w:t>Лицензиат</w:t>
            </w:r>
          </w:p>
          <w:p>
            <w:pPr>
              <w:pStyle w:val="ConsPlusNormal"/>
              <w:numPr>
                <w:ilvl w:val="0"/>
                <w:numId w:val="0"/>
              </w:numPr>
              <w:spacing w:lineRule="auto" w:line="240" w:before="0" w:after="0"/>
              <w:outlineLvl w:val="0"/>
              <w:rPr>
                <w:rFonts w:ascii="Times New Roman" w:hAnsi="Times New Roman"/>
                <w:bCs/>
                <w:color w:val="000000"/>
                <w:sz w:val="24"/>
                <w:szCs w:val="24"/>
                <w:lang w:val="en-US"/>
              </w:rPr>
            </w:pPr>
            <w:r>
              <w:rPr>
                <w:rFonts w:ascii="Times New Roman" w:hAnsi="Times New Roman"/>
                <w:bCs/>
                <w:color w:val="000000"/>
                <w:sz w:val="24"/>
                <w:szCs w:val="24"/>
                <w:lang w:val="en-US"/>
              </w:rPr>
              <w:t>Licensee</w:t>
            </w:r>
          </w:p>
        </w:tc>
      </w:tr>
      <w:tr>
        <w:trPr/>
        <w:tc>
          <w:tcPr>
            <w:tcW w:w="4748" w:type="dxa"/>
            <w:vMerge w:val="restart"/>
            <w:tcBorders>
              <w:top w:val="nil"/>
              <w:left w:val="nil"/>
              <w:bottom w:val="nil"/>
              <w:right w:val="nil"/>
              <w:insideH w:val="nil"/>
              <w:insideV w:val="nil"/>
            </w:tcBorders>
            <w:shd w:fill="auto" w:val="clear"/>
          </w:tcPr>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t>Автор 1: ФИО</w:t>
            </w:r>
          </w:p>
          <w:p>
            <w:pPr>
              <w:pStyle w:val="ConsPlusNormal"/>
              <w:numPr>
                <w:ilvl w:val="0"/>
                <w:numId w:val="0"/>
              </w:numPr>
              <w:spacing w:before="0" w:after="0"/>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Pr>
                <w:rFonts w:ascii="Times New Roman" w:hAnsi="Times New Roman"/>
                <w:color w:val="000000"/>
                <w:spacing w:val="3"/>
                <w:sz w:val="24"/>
                <w:szCs w:val="24"/>
              </w:rPr>
              <w:t xml:space="preserve"> 1 </w:t>
            </w:r>
            <w:r>
              <w:rPr>
                <w:rFonts w:ascii="Times New Roman" w:hAnsi="Times New Roman"/>
                <w:color w:val="000000"/>
                <w:spacing w:val="3"/>
                <w:sz w:val="24"/>
                <w:szCs w:val="24"/>
                <w:lang w:val="en-US"/>
              </w:rPr>
              <w:t>Name</w:t>
            </w:r>
          </w:p>
          <w:p>
            <w:pPr>
              <w:pStyle w:val="ConsPlusNormal"/>
              <w:numPr>
                <w:ilvl w:val="0"/>
                <w:numId w:val="0"/>
              </w:numPr>
              <w:spacing w:before="0" w:after="0"/>
              <w:outlineLvl w:val="0"/>
              <w:rPr>
                <w:rFonts w:ascii="Times New Roman" w:hAnsi="Times New Roman"/>
                <w:color w:val="000000"/>
                <w:spacing w:val="3"/>
                <w:sz w:val="24"/>
                <w:szCs w:val="24"/>
              </w:rPr>
            </w:pPr>
            <w:r>
              <w:rPr>
                <w:rFonts w:ascii="Times New Roman" w:hAnsi="Times New Roman"/>
                <w:color w:val="000000"/>
                <w:spacing w:val="3"/>
                <w:sz w:val="24"/>
                <w:szCs w:val="24"/>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t xml:space="preserve">Паспорт (номер, кем и когда выдан) </w:t>
            </w:r>
          </w:p>
          <w:p>
            <w:pPr>
              <w:pStyle w:val="ConsPlusNormal"/>
              <w:numPr>
                <w:ilvl w:val="0"/>
                <w:numId w:val="0"/>
              </w:numPr>
              <w:spacing w:before="0" w:after="0"/>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Passport (number, issued by…on…)</w:t>
            </w:r>
          </w:p>
          <w:p>
            <w:pPr>
              <w:pStyle w:val="ConsPlusNormal"/>
              <w:numPr>
                <w:ilvl w:val="0"/>
                <w:numId w:val="0"/>
              </w:numPr>
              <w:spacing w:before="0" w:after="0"/>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t xml:space="preserve">Адрес регистрации </w:t>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lang w:val="en-US"/>
              </w:rPr>
              <w:t>Address</w:t>
            </w:r>
            <w:r>
              <w:rPr>
                <w:rFonts w:cs="Times New Roman" w:ascii="Times New Roman" w:hAnsi="Times New Roman"/>
                <w:color w:val="000000"/>
                <w:sz w:val="24"/>
                <w:szCs w:val="24"/>
              </w:rPr>
              <w:t xml:space="preserve"> </w:t>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60"/>
              <w:jc w:val="both"/>
              <w:rPr>
                <w:rFonts w:ascii="Times New Roman" w:hAnsi="Times New Roman" w:cs="Times New Roman"/>
                <w:color w:val="000000"/>
                <w:sz w:val="24"/>
                <w:szCs w:val="20"/>
              </w:rPr>
            </w:pPr>
            <w:r>
              <w:rPr>
                <w:rFonts w:cs="Times New Roman" w:ascii="Times New Roman" w:hAnsi="Times New Roman"/>
                <w:color w:val="000000"/>
                <w:sz w:val="24"/>
                <w:szCs w:val="20"/>
                <w:lang w:val="en-US"/>
              </w:rPr>
              <w:t>E</w:t>
            </w:r>
            <w:r>
              <w:rPr>
                <w:rFonts w:cs="Times New Roman" w:ascii="Times New Roman" w:hAnsi="Times New Roman"/>
                <w:color w:val="000000"/>
                <w:sz w:val="24"/>
                <w:szCs w:val="20"/>
              </w:rPr>
              <w:t>-</w:t>
            </w:r>
            <w:r>
              <w:rPr>
                <w:rFonts w:cs="Times New Roman" w:ascii="Times New Roman" w:hAnsi="Times New Roman"/>
                <w:color w:val="000000"/>
                <w:sz w:val="24"/>
                <w:szCs w:val="20"/>
                <w:lang w:val="en-US"/>
              </w:rPr>
              <w:t>mail</w:t>
            </w:r>
            <w:r>
              <w:rPr>
                <w:rFonts w:cs="Times New Roman" w:ascii="Times New Roman" w:hAnsi="Times New Roman"/>
                <w:color w:val="000000"/>
                <w:sz w:val="24"/>
                <w:szCs w:val="20"/>
              </w:rPr>
              <w:t xml:space="preserve">: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60"/>
              <w:jc w:val="both"/>
              <w:rPr>
                <w:rFonts w:ascii="Times New Roman" w:hAnsi="Times New Roman" w:cs="Times New Roman"/>
                <w:color w:val="000000"/>
                <w:sz w:val="24"/>
                <w:szCs w:val="20"/>
              </w:rPr>
            </w:pPr>
            <w:r>
              <w:rPr>
                <w:rFonts w:cs="Times New Roman" w:ascii="Times New Roman" w:hAnsi="Times New Roman"/>
                <w:color w:val="000000"/>
                <w:sz w:val="20"/>
                <w:szCs w:val="20"/>
              </w:rPr>
              <w:t>____________/________________/</w:t>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t>Автор 2: ФИО</w:t>
            </w:r>
          </w:p>
          <w:p>
            <w:pPr>
              <w:pStyle w:val="ConsPlusNormal"/>
              <w:numPr>
                <w:ilvl w:val="0"/>
                <w:numId w:val="0"/>
              </w:numPr>
              <w:spacing w:before="0" w:after="0"/>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Pr>
                <w:rFonts w:ascii="Times New Roman" w:hAnsi="Times New Roman"/>
                <w:color w:val="000000"/>
                <w:spacing w:val="3"/>
                <w:sz w:val="24"/>
                <w:szCs w:val="24"/>
              </w:rPr>
              <w:t xml:space="preserve"> 2 </w:t>
            </w:r>
            <w:r>
              <w:rPr>
                <w:rFonts w:ascii="Times New Roman" w:hAnsi="Times New Roman"/>
                <w:color w:val="000000"/>
                <w:spacing w:val="3"/>
                <w:sz w:val="24"/>
                <w:szCs w:val="24"/>
                <w:lang w:val="en-US"/>
              </w:rPr>
              <w:t>Name</w:t>
            </w:r>
          </w:p>
          <w:p>
            <w:pPr>
              <w:pStyle w:val="ConsPlusNormal"/>
              <w:numPr>
                <w:ilvl w:val="0"/>
                <w:numId w:val="0"/>
              </w:numPr>
              <w:spacing w:before="0" w:after="0"/>
              <w:outlineLvl w:val="0"/>
              <w:rPr>
                <w:rFonts w:ascii="Times New Roman" w:hAnsi="Times New Roman"/>
                <w:color w:val="000000"/>
                <w:spacing w:val="3"/>
                <w:sz w:val="24"/>
                <w:szCs w:val="24"/>
              </w:rPr>
            </w:pPr>
            <w:r>
              <w:rPr>
                <w:rFonts w:ascii="Times New Roman" w:hAnsi="Times New Roman"/>
                <w:color w:val="000000"/>
                <w:spacing w:val="3"/>
                <w:sz w:val="24"/>
                <w:szCs w:val="24"/>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t xml:space="preserve">Паспорт (номер, кем и когда выдан) </w:t>
            </w:r>
          </w:p>
          <w:p>
            <w:pPr>
              <w:pStyle w:val="ConsPlusNormal"/>
              <w:numPr>
                <w:ilvl w:val="0"/>
                <w:numId w:val="0"/>
              </w:numPr>
              <w:spacing w:before="0" w:after="0"/>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t>Passport (number, issued by…on…)</w:t>
            </w:r>
          </w:p>
          <w:p>
            <w:pPr>
              <w:pStyle w:val="ConsPlusNormal"/>
              <w:numPr>
                <w:ilvl w:val="0"/>
                <w:numId w:val="0"/>
              </w:numPr>
              <w:spacing w:before="0" w:after="0"/>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t xml:space="preserve">Адрес регистрации </w:t>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lang w:val="en-US"/>
              </w:rPr>
              <w:t>Address</w:t>
            </w:r>
            <w:r>
              <w:rPr>
                <w:rFonts w:cs="Times New Roman" w:ascii="Times New Roman" w:hAnsi="Times New Roman"/>
                <w:color w:val="000000"/>
                <w:sz w:val="24"/>
                <w:szCs w:val="24"/>
              </w:rPr>
              <w:t xml:space="preserve"> </w:t>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60"/>
              <w:jc w:val="both"/>
              <w:rPr>
                <w:rFonts w:ascii="Times New Roman" w:hAnsi="Times New Roman" w:cs="Times New Roman"/>
                <w:color w:val="000000"/>
                <w:sz w:val="24"/>
                <w:szCs w:val="20"/>
              </w:rPr>
            </w:pPr>
            <w:r>
              <w:rPr>
                <w:rFonts w:cs="Times New Roman" w:ascii="Times New Roman" w:hAnsi="Times New Roman"/>
                <w:color w:val="000000"/>
                <w:sz w:val="24"/>
                <w:szCs w:val="20"/>
                <w:lang w:val="en-US"/>
              </w:rPr>
              <w:t>E</w:t>
            </w:r>
            <w:r>
              <w:rPr>
                <w:rFonts w:cs="Times New Roman" w:ascii="Times New Roman" w:hAnsi="Times New Roman"/>
                <w:color w:val="000000"/>
                <w:sz w:val="24"/>
                <w:szCs w:val="20"/>
              </w:rPr>
              <w:t>-</w:t>
            </w:r>
            <w:r>
              <w:rPr>
                <w:rFonts w:cs="Times New Roman" w:ascii="Times New Roman" w:hAnsi="Times New Roman"/>
                <w:color w:val="000000"/>
                <w:sz w:val="24"/>
                <w:szCs w:val="20"/>
                <w:lang w:val="en-US"/>
              </w:rPr>
              <w:t>mail</w:t>
            </w:r>
            <w:r>
              <w:rPr>
                <w:rFonts w:cs="Times New Roman" w:ascii="Times New Roman" w:hAnsi="Times New Roman"/>
                <w:color w:val="000000"/>
                <w:sz w:val="24"/>
                <w:szCs w:val="20"/>
              </w:rPr>
              <w:t xml:space="preserve">: </w:t>
            </w:r>
          </w:p>
          <w:p>
            <w:pPr>
              <w:pStyle w:val="Preformatted"/>
              <w:tabs>
                <w:tab w:val="left" w:pos="0" w:leader="none"/>
                <w:tab w:val="left" w:pos="34"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120" w:after="160"/>
              <w:jc w:val="both"/>
              <w:rPr>
                <w:rFonts w:ascii="Times New Roman" w:hAnsi="Times New Roman" w:cs="Times New Roman"/>
                <w:color w:val="000000"/>
                <w:sz w:val="24"/>
                <w:szCs w:val="20"/>
              </w:rPr>
            </w:pPr>
            <w:r>
              <w:rPr>
                <w:rFonts w:cs="Times New Roman" w:ascii="Times New Roman" w:hAnsi="Times New Roman"/>
                <w:color w:val="000000"/>
                <w:sz w:val="20"/>
                <w:szCs w:val="20"/>
              </w:rPr>
              <w:t>____________/________________/</w:t>
            </w:r>
          </w:p>
          <w:p>
            <w:pPr>
              <w:pStyle w:val="ConsPlusNormal"/>
              <w:numPr>
                <w:ilvl w:val="0"/>
                <w:numId w:val="0"/>
              </w:numPr>
              <w:spacing w:before="0" w:after="0"/>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748" w:type="dxa"/>
            <w:tcBorders>
              <w:top w:val="nil"/>
              <w:left w:val="nil"/>
              <w:bottom w:val="nil"/>
              <w:right w:val="nil"/>
              <w:insideH w:val="nil"/>
              <w:insideV w:val="nil"/>
            </w:tcBorders>
            <w:shd w:fill="auto" w:val="clear"/>
          </w:tcPr>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trPr/>
        <w:tc>
          <w:tcPr>
            <w:tcW w:w="4748" w:type="dxa"/>
            <w:vMerge w:val="continue"/>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748" w:type="dxa"/>
            <w:tcBorders>
              <w:top w:val="nil"/>
              <w:left w:val="nil"/>
              <w:bottom w:val="nil"/>
              <w:right w:val="nil"/>
              <w:insideH w:val="nil"/>
              <w:insideV w:val="nil"/>
            </w:tcBorders>
            <w:shd w:fill="auto" w:val="clear"/>
          </w:tcPr>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188300, Ленинградская область, г. Гатчина, микрорайон Орлова роща дом 1</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ИНН 4705001850</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КПП 470501001</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ОКПО 02698654</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ОКТМО 41618101001</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УФК по Ленинградской обл.</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(ОФК 06 НИЦ «Курчатовский институт» - ПИЯФ  л/сч 20456Ц42210)</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р/с 40501810300002000022</w:t>
            </w:r>
          </w:p>
          <w:p>
            <w:pPr>
              <w:pStyle w:val="Normal"/>
              <w:widowControl w:val="false"/>
              <w:spacing w:lineRule="auto" w:line="240" w:before="0" w:after="0"/>
              <w:rPr>
                <w:rFonts w:ascii="]ˇ" w:hAnsi="]ˇ" w:cs="]ˇ"/>
                <w:sz w:val="24"/>
                <w:szCs w:val="24"/>
                <w:lang w:eastAsia="ru-RU"/>
              </w:rPr>
            </w:pPr>
            <w:r>
              <w:rPr>
                <w:rFonts w:cs="]ˇ" w:ascii="Times New Roman" w:hAnsi="Times New Roman"/>
                <w:color w:val="000000"/>
                <w:sz w:val="24"/>
                <w:szCs w:val="24"/>
                <w:lang w:eastAsia="ru-RU"/>
              </w:rPr>
              <w:t>«Банк получателя»:</w:t>
            </w:r>
          </w:p>
          <w:p>
            <w:pPr>
              <w:pStyle w:val="Normal"/>
              <w:widowControl w:val="false"/>
              <w:spacing w:lineRule="auto" w:line="240" w:before="0" w:after="0"/>
              <w:rPr>
                <w:rFonts w:ascii="Times New Roman" w:hAnsi="Times New Roman"/>
                <w:color w:val="000000"/>
                <w:spacing w:val="3"/>
                <w:sz w:val="24"/>
                <w:szCs w:val="24"/>
              </w:rPr>
            </w:pPr>
            <w:r>
              <w:rPr>
                <w:rFonts w:cs="]ˇ" w:ascii="Times New Roman" w:hAnsi="Times New Roman"/>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trPr/>
        <w:tc>
          <w:tcPr>
            <w:tcW w:w="4748" w:type="dxa"/>
            <w:vMerge w:val="continue"/>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74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Petersburg Nuclear Physics Institute named by B.P. Konstantinov of National Research Centre “Kurchatov Institute” (NRC “Kurchatov Institute” - PNPI)</w:t>
            </w:r>
          </w:p>
        </w:tc>
      </w:tr>
      <w:tr>
        <w:trPr/>
        <w:tc>
          <w:tcPr>
            <w:tcW w:w="4748" w:type="dxa"/>
            <w:vMerge w:val="continue"/>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c>
          <w:tcPr>
            <w:tcW w:w="4748"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ˇ"/>
                <w:color w:val="000000"/>
                <w:sz w:val="24"/>
                <w:szCs w:val="24"/>
                <w:lang w:val="en-US" w:eastAsia="ru-RU"/>
              </w:rPr>
            </w:pPr>
            <w:r>
              <w:rPr>
                <w:rFonts w:cs="]ˇ" w:ascii="Times New Roman" w:hAnsi="Times New Roman"/>
                <w:color w:val="000000"/>
                <w:sz w:val="24"/>
                <w:szCs w:val="24"/>
                <w:lang w:val="en-US" w:eastAsia="ru-RU"/>
              </w:rPr>
              <w:t>188300, Leningrad region, Gatchina, Orlova roshcha 1</w:t>
            </w:r>
          </w:p>
          <w:p>
            <w:pPr>
              <w:pStyle w:val="Normal"/>
              <w:widowControl w:val="false"/>
              <w:spacing w:lineRule="auto" w:line="240" w:before="0" w:after="0"/>
              <w:rPr>
                <w:rFonts w:ascii="]ˇ" w:hAnsi="]ˇ" w:cs="]ˇ"/>
                <w:sz w:val="24"/>
                <w:szCs w:val="24"/>
                <w:lang w:val="en-US" w:eastAsia="ru-RU"/>
              </w:rPr>
            </w:pPr>
            <w:r>
              <w:rPr>
                <w:rFonts w:cs="]ˇ" w:ascii="]ˇ" w:hAnsi="]ˇ"/>
                <w:sz w:val="24"/>
                <w:szCs w:val="24"/>
                <w:lang w:val="en-US" w:eastAsia="ru-RU"/>
              </w:rPr>
            </w:r>
          </w:p>
          <w:p>
            <w:pPr>
              <w:pStyle w:val="Normal"/>
              <w:widowControl w:val="false"/>
              <w:spacing w:lineRule="auto" w:line="240" w:before="0" w:after="0"/>
              <w:rPr>
                <w:rFonts w:ascii="Times New Roman" w:hAnsi="Times New Roman" w:cs="]ˇ"/>
                <w:color w:val="000000"/>
                <w:sz w:val="24"/>
                <w:szCs w:val="24"/>
                <w:lang w:val="en-US" w:eastAsia="ru-RU"/>
              </w:rPr>
            </w:pPr>
            <w:r>
              <w:rPr>
                <w:rFonts w:cs="]ˇ" w:ascii="Times New Roman" w:hAnsi="Times New Roman"/>
                <w:color w:val="000000"/>
                <w:sz w:val="24"/>
                <w:szCs w:val="24"/>
                <w:lang w:val="en-US" w:eastAsia="ru-RU"/>
              </w:rPr>
              <w:t>Taxpayer Personal Identification Number 4705001850</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Tax Registration Reason Code 470501001</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Russian National Nomenclator of Businesses and Organizations 02698654</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Russian Classification of Territories of Municipal Formations 41618101001</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Federal Treasury Department for Leningrad region</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(Federal Treasury Body 06 NRC “Kurchatov Institute” - PNPI ind/acc 20456</w:t>
            </w:r>
            <w:r>
              <w:rPr>
                <w:rFonts w:cs="]ˇ" w:ascii="Times New Roman" w:hAnsi="Times New Roman"/>
                <w:color w:val="000000"/>
                <w:sz w:val="24"/>
                <w:szCs w:val="24"/>
                <w:lang w:eastAsia="ru-RU"/>
              </w:rPr>
              <w:t>Ц</w:t>
            </w:r>
            <w:r>
              <w:rPr>
                <w:rFonts w:cs="]ˇ" w:ascii="Times New Roman" w:hAnsi="Times New Roman"/>
                <w:color w:val="000000"/>
                <w:sz w:val="24"/>
                <w:szCs w:val="24"/>
                <w:lang w:val="en-US" w:eastAsia="ru-RU"/>
              </w:rPr>
              <w:t>42210)</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op/acc 40501810300002000022</w:t>
            </w:r>
          </w:p>
          <w:p>
            <w:pPr>
              <w:pStyle w:val="Normal"/>
              <w:widowControl w:val="false"/>
              <w:spacing w:lineRule="auto" w:line="240" w:before="0" w:after="0"/>
              <w:rPr>
                <w:rFonts w:ascii="]ˇ" w:hAnsi="]ˇ" w:cs="]ˇ"/>
                <w:sz w:val="24"/>
                <w:szCs w:val="24"/>
                <w:lang w:val="en-US" w:eastAsia="ru-RU"/>
              </w:rPr>
            </w:pPr>
            <w:r>
              <w:rPr>
                <w:rFonts w:cs="]ˇ" w:ascii="Times New Roman" w:hAnsi="Times New Roman"/>
                <w:color w:val="000000"/>
                <w:sz w:val="24"/>
                <w:szCs w:val="24"/>
                <w:lang w:val="en-US" w:eastAsia="ru-RU"/>
              </w:rPr>
              <w:t xml:space="preserve"> “</w:t>
            </w:r>
            <w:r>
              <w:rPr>
                <w:rFonts w:cs="]ˇ" w:ascii="Times New Roman" w:hAnsi="Times New Roman"/>
                <w:color w:val="000000"/>
                <w:sz w:val="24"/>
                <w:szCs w:val="24"/>
                <w:lang w:val="en-US" w:eastAsia="ru-RU"/>
              </w:rPr>
              <w:t>Beneficiary Bank”:</w:t>
            </w:r>
          </w:p>
          <w:p>
            <w:pPr>
              <w:pStyle w:val="Normal"/>
              <w:widowControl w:val="false"/>
              <w:spacing w:lineRule="auto" w:line="240" w:before="0" w:after="0"/>
              <w:rPr>
                <w:rFonts w:ascii="Times New Roman" w:hAnsi="Times New Roman" w:cs="]ˇ"/>
                <w:color w:val="000000"/>
                <w:sz w:val="24"/>
                <w:szCs w:val="24"/>
                <w:lang w:val="en-US" w:eastAsia="ru-RU"/>
              </w:rPr>
            </w:pPr>
            <w:r>
              <w:rPr>
                <w:rFonts w:cs="]ˇ" w:ascii="Times New Roman" w:hAnsi="Times New Roman"/>
                <w:color w:val="000000"/>
                <w:sz w:val="24"/>
                <w:szCs w:val="24"/>
                <w:lang w:val="en-US" w:eastAsia="ru-RU"/>
              </w:rPr>
              <w:t xml:space="preserve">Leningrad Regional Division of the North-Western Main Branch of the Central Bank of the Russian Federation (short name – Leningrad Regional Division). </w:t>
            </w:r>
          </w:p>
          <w:p>
            <w:pPr>
              <w:pStyle w:val="Normal"/>
              <w:widowControl w:val="false"/>
              <w:spacing w:lineRule="auto" w:line="240"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t xml:space="preserve">BIC 044106001 </w:t>
            </w:r>
          </w:p>
          <w:p>
            <w:pPr>
              <w:pStyle w:val="Normal"/>
              <w:widowControl w:val="false"/>
              <w:spacing w:lineRule="auto" w:line="240"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r>
          </w:p>
          <w:p>
            <w:pPr>
              <w:pStyle w:val="Normal"/>
              <w:widowControl w:val="false"/>
              <w:spacing w:lineRule="auto" w:line="240" w:before="0" w:after="0"/>
              <w:rPr>
                <w:rFonts w:ascii="Times New Roman" w:hAnsi="Times New Roman"/>
                <w:color w:val="000000"/>
                <w:spacing w:val="3"/>
                <w:sz w:val="24"/>
                <w:szCs w:val="24"/>
              </w:rPr>
            </w:pPr>
            <w:r>
              <w:rPr>
                <w:rFonts w:ascii="Times New Roman" w:hAnsi="Times New Roman"/>
                <w:color w:val="000000"/>
                <w:spacing w:val="3"/>
                <w:sz w:val="24"/>
                <w:szCs w:val="24"/>
              </w:rPr>
            </w:r>
          </w:p>
        </w:tc>
      </w:tr>
      <w:tr>
        <w:trPr/>
        <w:tc>
          <w:tcPr>
            <w:tcW w:w="4748" w:type="dxa"/>
            <w:vMerge w:val="continue"/>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748" w:type="dxa"/>
            <w:tcBorders>
              <w:top w:val="nil"/>
              <w:left w:val="nil"/>
              <w:bottom w:val="nil"/>
              <w:right w:val="nil"/>
              <w:insideH w:val="nil"/>
              <w:insideV w:val="nil"/>
            </w:tcBorders>
            <w:shd w:fill="auto" w:val="clear"/>
          </w:tcPr>
          <w:p>
            <w:pPr>
              <w:pStyle w:val="Normal"/>
              <w:widowControl w:val="false"/>
              <w:spacing w:before="0" w:after="0"/>
              <w:rPr>
                <w:rFonts w:ascii="Times New Roman" w:hAnsi="Times New Roman"/>
                <w:color w:val="000000"/>
              </w:rPr>
            </w:pPr>
            <w:r>
              <w:rPr>
                <w:rFonts w:ascii="Times New Roman" w:hAnsi="Times New Roman"/>
                <w:color w:val="000000"/>
                <w:sz w:val="24"/>
                <w:szCs w:val="24"/>
              </w:rPr>
              <w:t xml:space="preserve">Заместитель директора </w:t>
            </w:r>
          </w:p>
          <w:p>
            <w:pPr>
              <w:pStyle w:val="Normal"/>
              <w:widowControl w:val="false"/>
              <w:spacing w:before="0" w:after="0"/>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pPr>
              <w:pStyle w:val="Normal"/>
              <w:widowControl w:val="false"/>
              <w:shd w:val="clear" w:color="auto" w:fill="FFFFFF"/>
              <w:spacing w:before="0" w:after="0"/>
              <w:rPr>
                <w:rFonts w:ascii="Times New Roman" w:hAnsi="Times New Roman" w:cs="]ˇ"/>
                <w:color w:val="000000"/>
                <w:sz w:val="24"/>
                <w:szCs w:val="24"/>
                <w:lang w:eastAsia="ru-RU"/>
              </w:rPr>
            </w:pPr>
            <w:r>
              <w:rPr>
                <w:rFonts w:ascii="Times New Roman" w:hAnsi="Times New Roman"/>
                <w:color w:val="000000"/>
                <w:sz w:val="24"/>
                <w:szCs w:val="24"/>
                <w:lang w:val="en-US"/>
              </w:rPr>
              <w:t>Deputy</w:t>
            </w:r>
            <w:r>
              <w:rPr>
                <w:rFonts w:ascii="Times New Roman" w:hAnsi="Times New Roman"/>
                <w:color w:val="000000"/>
                <w:sz w:val="24"/>
                <w:szCs w:val="24"/>
              </w:rPr>
              <w:t xml:space="preserve"> </w:t>
            </w:r>
            <w:r>
              <w:rPr>
                <w:rFonts w:ascii="Times New Roman" w:hAnsi="Times New Roman"/>
                <w:color w:val="000000"/>
                <w:sz w:val="24"/>
                <w:szCs w:val="24"/>
                <w:lang w:val="en-US"/>
              </w:rPr>
              <w:t>Director</w:t>
            </w:r>
            <w:r>
              <w:rPr>
                <w:rFonts w:ascii="Times New Roman" w:hAnsi="Times New Roman"/>
                <w:color w:val="000000"/>
                <w:sz w:val="24"/>
                <w:szCs w:val="24"/>
              </w:rPr>
              <w:t xml:space="preserve"> </w:t>
            </w:r>
            <w:r>
              <w:rPr>
                <w:rFonts w:ascii="Times New Roman" w:hAnsi="Times New Roman"/>
                <w:color w:val="000000"/>
                <w:sz w:val="24"/>
                <w:szCs w:val="24"/>
                <w:lang w:val="en-US"/>
              </w:rPr>
              <w:t>for</w:t>
            </w:r>
            <w:r>
              <w:rPr>
                <w:rFonts w:ascii="Times New Roman" w:hAnsi="Times New Roman"/>
                <w:color w:val="000000"/>
                <w:sz w:val="24"/>
                <w:szCs w:val="24"/>
              </w:rPr>
              <w:t xml:space="preserve"> </w:t>
            </w:r>
            <w:r>
              <w:rPr>
                <w:rFonts w:ascii="Times New Roman" w:hAnsi="Times New Roman"/>
                <w:color w:val="000000"/>
                <w:sz w:val="24"/>
                <w:szCs w:val="24"/>
                <w:lang w:val="en-US"/>
              </w:rPr>
              <w:t>Scientific</w:t>
            </w:r>
            <w:r>
              <w:rPr>
                <w:rFonts w:ascii="Times New Roman" w:hAnsi="Times New Roman"/>
                <w:color w:val="000000"/>
                <w:sz w:val="24"/>
                <w:szCs w:val="24"/>
              </w:rPr>
              <w:t xml:space="preserve"> </w:t>
            </w:r>
            <w:r>
              <w:rPr>
                <w:rFonts w:ascii="Times New Roman" w:hAnsi="Times New Roman"/>
                <w:color w:val="000000"/>
                <w:sz w:val="24"/>
                <w:szCs w:val="24"/>
                <w:lang w:val="en-US"/>
              </w:rPr>
              <w:t>Affairs</w:t>
            </w:r>
            <w:r>
              <w:rPr>
                <w:rFonts w:ascii="Times New Roman" w:hAnsi="Times New Roman"/>
                <w:color w:val="000000"/>
                <w:sz w:val="24"/>
                <w:szCs w:val="24"/>
              </w:rPr>
              <w:t xml:space="preserve"> </w:t>
            </w:r>
          </w:p>
          <w:p>
            <w:pPr>
              <w:pStyle w:val="Normal"/>
              <w:widowControl w:val="false"/>
              <w:shd w:val="clear" w:color="auto" w:fill="FFFFFF"/>
              <w:spacing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r>
          </w:p>
          <w:p>
            <w:pPr>
              <w:pStyle w:val="Normal"/>
              <w:widowControl w:val="false"/>
              <w:shd w:val="clear" w:color="auto" w:fill="FFFFFF"/>
              <w:spacing w:before="0" w:after="0"/>
              <w:rPr>
                <w:rFonts w:ascii="Times New Roman" w:hAnsi="Times New Roman" w:cs="]ˇ"/>
                <w:color w:val="000000"/>
                <w:sz w:val="24"/>
                <w:szCs w:val="24"/>
                <w:lang w:eastAsia="ru-RU"/>
              </w:rPr>
            </w:pPr>
            <w:r>
              <w:rPr>
                <w:rFonts w:cs="]ˇ" w:ascii="Times New Roman" w:hAnsi="Times New Roman"/>
                <w:color w:val="000000"/>
                <w:sz w:val="24"/>
                <w:szCs w:val="24"/>
                <w:lang w:eastAsia="ru-RU"/>
              </w:rPr>
            </w:r>
          </w:p>
          <w:p>
            <w:pPr>
              <w:pStyle w:val="Normal"/>
              <w:widowControl w:val="false"/>
              <w:shd w:val="clear" w:color="auto" w:fill="FFFFFF"/>
              <w:spacing w:before="0" w:after="0"/>
              <w:rPr>
                <w:rFonts w:ascii="Times New Roman" w:hAnsi="Times New Roman"/>
                <w:color w:val="000000"/>
                <w:sz w:val="24"/>
                <w:szCs w:val="24"/>
                <w:lang w:eastAsia="ru-RU"/>
              </w:rPr>
            </w:pPr>
            <w:r>
              <w:rPr>
                <w:rFonts w:cs="]ˇ" w:ascii="Times New Roman" w:hAnsi="Times New Roman"/>
                <w:color w:val="000000"/>
                <w:sz w:val="24"/>
                <w:szCs w:val="24"/>
                <w:lang w:eastAsia="ru-RU"/>
              </w:rPr>
              <w:t xml:space="preserve">_______________ д.б.н, </w:t>
            </w:r>
            <w:r>
              <w:rPr>
                <w:rFonts w:ascii="Times New Roman" w:hAnsi="Times New Roman"/>
                <w:color w:val="000000"/>
                <w:sz w:val="24"/>
                <w:szCs w:val="24"/>
                <w:lang w:eastAsia="ru-RU"/>
              </w:rPr>
              <w:t>С.В. Саранцева</w:t>
            </w:r>
          </w:p>
          <w:p>
            <w:pPr>
              <w:pStyle w:val="Normal"/>
              <w:widowControl w:val="false"/>
              <w:shd w:val="clear" w:color="auto" w:fill="FFFFFF"/>
              <w:spacing w:before="0" w:after="0"/>
              <w:ind w:right="-143" w:firstLine="1858"/>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Svetlana V. Sarantseva, </w:t>
            </w:r>
          </w:p>
          <w:p>
            <w:pPr>
              <w:pStyle w:val="Normal"/>
              <w:widowControl w:val="false"/>
              <w:shd w:val="clear" w:color="auto" w:fill="FFFFFF"/>
              <w:spacing w:before="0" w:after="0"/>
              <w:ind w:right="-143" w:firstLine="1858"/>
              <w:rPr>
                <w:rFonts w:ascii="Calibri" w:hAnsi="Calibri" w:cs="]ˇ"/>
                <w:sz w:val="24"/>
                <w:szCs w:val="24"/>
                <w:lang w:val="en-US" w:eastAsia="ru-RU"/>
              </w:rPr>
            </w:pPr>
            <w:r>
              <w:rPr>
                <w:rFonts w:ascii="Times New Roman" w:hAnsi="Times New Roman"/>
                <w:color w:val="000000"/>
                <w:sz w:val="24"/>
                <w:szCs w:val="24"/>
                <w:lang w:val="en-US" w:eastAsia="ru-RU"/>
              </w:rPr>
              <w:t>Doctor of Biological Sciences</w:t>
            </w:r>
          </w:p>
          <w:p>
            <w:pPr>
              <w:pStyle w:val="Normal"/>
              <w:widowControl w:val="false"/>
              <w:shd w:val="clear" w:color="auto" w:fill="FFFFFF"/>
              <w:spacing w:before="0" w:after="0"/>
              <w:rPr>
                <w:rFonts w:ascii="Times New Roman" w:hAnsi="Times New Roman" w:cs="]ˇ"/>
                <w:color w:val="000000"/>
                <w:sz w:val="24"/>
                <w:szCs w:val="24"/>
                <w:lang w:val="en-US" w:eastAsia="ru-RU"/>
              </w:rPr>
            </w:pPr>
            <w:r>
              <w:rPr>
                <w:rFonts w:cs="]ˇ" w:ascii="Times New Roman" w:hAnsi="Times New Roman"/>
                <w:color w:val="000000"/>
                <w:sz w:val="24"/>
                <w:szCs w:val="24"/>
                <w:lang w:val="en-US" w:eastAsia="ru-RU"/>
              </w:rPr>
            </w:r>
          </w:p>
          <w:p>
            <w:pPr>
              <w:pStyle w:val="ConsPlusNormal"/>
              <w:numPr>
                <w:ilvl w:val="0"/>
                <w:numId w:val="0"/>
              </w:numPr>
              <w:spacing w:before="0" w:after="0"/>
              <w:jc w:val="center"/>
              <w:outlineLvl w:val="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tc>
      </w:tr>
    </w:tbl>
    <w:p>
      <w:pPr>
        <w:pStyle w:val="ConsPlusNonformat"/>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160"/>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 w:name="]ˇ">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c03b79"/>
    <w:rPr>
      <w:color w:val="000080"/>
      <w:u w:val="single"/>
    </w:rPr>
  </w:style>
  <w:style w:type="character" w:styleId="ListLabel1" w:customStyle="1">
    <w:name w:val="ListLabel 1"/>
    <w:qFormat/>
    <w:rsid w:val="00c03b79"/>
    <w:rPr>
      <w:rFonts w:ascii="Times New Roman" w:hAnsi="Times New Roman" w:cs="Times New Roman"/>
      <w:color w:val="0000FF"/>
      <w:sz w:val="24"/>
      <w:szCs w:val="24"/>
    </w:rPr>
  </w:style>
  <w:style w:type="character" w:styleId="Style15" w:customStyle="1">
    <w:name w:val="Текст выноски Знак"/>
    <w:basedOn w:val="DefaultParagraphFont"/>
    <w:link w:val="a4"/>
    <w:uiPriority w:val="99"/>
    <w:semiHidden/>
    <w:qFormat/>
    <w:rsid w:val="00b01e4d"/>
    <w:rPr>
      <w:rFonts w:ascii="Segoe UI" w:hAnsi="Segoe UI" w:cs="Segoe UI"/>
      <w:sz w:val="18"/>
      <w:szCs w:val="18"/>
    </w:rPr>
  </w:style>
  <w:style w:type="character" w:styleId="Style16" w:customStyle="1">
    <w:name w:val="Верхний колонтитул Знак"/>
    <w:basedOn w:val="DefaultParagraphFont"/>
    <w:link w:val="a6"/>
    <w:uiPriority w:val="99"/>
    <w:qFormat/>
    <w:rsid w:val="00724b68"/>
    <w:rPr/>
  </w:style>
  <w:style w:type="character" w:styleId="Style17" w:customStyle="1">
    <w:name w:val="Нижний колонтитул Знак"/>
    <w:basedOn w:val="DefaultParagraphFont"/>
    <w:link w:val="a8"/>
    <w:uiPriority w:val="99"/>
    <w:qFormat/>
    <w:rsid w:val="00724b68"/>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c03b79"/>
    <w:pPr>
      <w:widowControl w:val="false"/>
      <w:bidi w:val="0"/>
      <w:spacing w:lineRule="auto" w:line="240"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Nonformat" w:customStyle="1">
    <w:name w:val="ConsPlusNonformat"/>
    <w:qFormat/>
    <w:rsid w:val="00c03b79"/>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Preformatted" w:customStyle="1">
    <w:name w:val="Preformatted"/>
    <w:basedOn w:val="Normal"/>
    <w:qFormat/>
    <w:rsid w:val="008f565f"/>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rPr>
  </w:style>
  <w:style w:type="paragraph" w:styleId="BalloonText">
    <w:name w:val="Balloon Text"/>
    <w:basedOn w:val="Normal"/>
    <w:link w:val="a5"/>
    <w:uiPriority w:val="99"/>
    <w:semiHidden/>
    <w:unhideWhenUsed/>
    <w:qFormat/>
    <w:rsid w:val="00b01e4d"/>
    <w:pPr>
      <w:spacing w:lineRule="auto" w:line="240" w:before="0" w:after="0"/>
    </w:pPr>
    <w:rPr>
      <w:rFonts w:ascii="Segoe UI" w:hAnsi="Segoe UI" w:cs="Segoe UI"/>
      <w:sz w:val="18"/>
      <w:szCs w:val="18"/>
    </w:rPr>
  </w:style>
  <w:style w:type="paragraph" w:styleId="Style23">
    <w:name w:val="Header"/>
    <w:basedOn w:val="Normal"/>
    <w:link w:val="a7"/>
    <w:uiPriority w:val="99"/>
    <w:unhideWhenUsed/>
    <w:rsid w:val="00724b68"/>
    <w:pPr>
      <w:tabs>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724b68"/>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c03b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LibreOffice/5.4.4.2$Windows_X86_64 LibreOffice_project/2524958677847fb3bb44820e40380acbe820f960</Application>
  <Pages>6</Pages>
  <Words>2352</Words>
  <Characters>14604</Characters>
  <CharactersWithSpaces>16890</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2018-10-31T13:28:00Z</dcterms:created>
  <dc:creator/>
  <dc:description/>
  <dc:language>ru-RU</dc:language>
  <cp:lastModifiedBy/>
  <dcterms:modified xsi:type="dcterms:W3CDTF">2019-11-27T09:16:00Z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